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09" w:rsidRDefault="00C04198">
      <w:pPr>
        <w:pStyle w:val="Heading1"/>
      </w:pPr>
      <w:r>
        <w:t>Letter of Intent</w:t>
      </w:r>
    </w:p>
    <w:p w:rsidR="00C04198" w:rsidRPr="008173EB" w:rsidRDefault="00C04198" w:rsidP="00C04198">
      <w:r w:rsidRPr="008173EB">
        <w:t>(For Educational Purposes Only — Not Legal Advice)</w:t>
      </w:r>
    </w:p>
    <w:p w:rsidR="00C04198" w:rsidRPr="00C04198" w:rsidRDefault="00C04198" w:rsidP="00C04198"/>
    <w:p w:rsidR="00FD5909" w:rsidRDefault="00C04198">
      <w:pPr>
        <w:pStyle w:val="Heading2"/>
      </w:pPr>
      <w:r>
        <w:t>1. Introduction</w:t>
      </w:r>
    </w:p>
    <w:p w:rsidR="00FD5909" w:rsidRDefault="00C04198">
      <w:r>
        <w:t>This Letter of Intent (“LOI”) outlines the preliminary terms under which Buyer proposes to acquire the business, assets, or equity of the Company. This LOI is non-binding except for the sections expressly stated</w:t>
      </w:r>
      <w:r>
        <w:t xml:space="preserve"> as binding.</w:t>
      </w:r>
    </w:p>
    <w:p w:rsidR="00FD5909" w:rsidRDefault="00C04198">
      <w:pPr>
        <w:pStyle w:val="Heading2"/>
      </w:pPr>
      <w:r>
        <w:t>2. Definitions</w:t>
      </w:r>
    </w:p>
    <w:p w:rsidR="00FD5909" w:rsidRDefault="00C04198">
      <w:r>
        <w:t>For purposes of this LOI:</w:t>
      </w:r>
    </w:p>
    <w:p w:rsidR="00FD5909" w:rsidRDefault="00C04198">
      <w:r>
        <w:t>• “Transaction” refers to the contemplated purchase of the Company’s equity or assets.</w:t>
      </w:r>
    </w:p>
    <w:p w:rsidR="00FD5909" w:rsidRDefault="00C04198">
      <w:r>
        <w:t>• “Definitive Agreements” refers to the Stock Purchase Agreement or Asset Purchase Agreement.</w:t>
      </w:r>
    </w:p>
    <w:p w:rsidR="00FD5909" w:rsidRDefault="00C04198">
      <w:r>
        <w:t>• “Confidential Infor</w:t>
      </w:r>
      <w:r>
        <w:t>mation” includes all non‑public business, financial, clinical, or operational information provided by Seller.</w:t>
      </w:r>
    </w:p>
    <w:p w:rsidR="00FD5909" w:rsidRDefault="00C04198">
      <w:pPr>
        <w:pStyle w:val="Heading2"/>
      </w:pPr>
      <w:r>
        <w:t>3. Structure of the Transaction</w:t>
      </w:r>
    </w:p>
    <w:p w:rsidR="00FD5909" w:rsidRDefault="00C04198">
      <w:r>
        <w:t>Buyer intends to acquire substantially all assets or 100% of the equity of the Company, free and clear of all lien</w:t>
      </w:r>
      <w:r>
        <w:t>s. Final structure to be determined during due diligence.</w:t>
      </w:r>
    </w:p>
    <w:p w:rsidR="00FD5909" w:rsidRDefault="00C04198">
      <w:pPr>
        <w:pStyle w:val="Heading2"/>
      </w:pPr>
      <w:r>
        <w:t>4. Purchase Price</w:t>
      </w:r>
    </w:p>
    <w:p w:rsidR="00FD5909" w:rsidRDefault="00C04198">
      <w:r>
        <w:t>The purchase price and structure (cash, notes, holdback, rollover equity) shall be finalized in the Definitive Agreements.</w:t>
      </w:r>
    </w:p>
    <w:p w:rsidR="00FD5909" w:rsidRDefault="00C04198">
      <w:pPr>
        <w:pStyle w:val="Heading2"/>
      </w:pPr>
      <w:r>
        <w:t>5. Due Diligence</w:t>
      </w:r>
    </w:p>
    <w:p w:rsidR="00FD5909" w:rsidRDefault="00C04198">
      <w:r>
        <w:t>Buyer shall be entitled to conduct finan</w:t>
      </w:r>
      <w:r>
        <w:t>cial, legal, operational, payor, compliance, clinical, HR, IT, and regulatory due diligence. Seller will provide full access to records, systems, management, and facilities.</w:t>
      </w:r>
    </w:p>
    <w:p w:rsidR="00FD5909" w:rsidRDefault="00C04198">
      <w:pPr>
        <w:pStyle w:val="Heading2"/>
      </w:pPr>
      <w:r>
        <w:t>6. Access and Cooperation</w:t>
      </w:r>
    </w:p>
    <w:p w:rsidR="00FD5909" w:rsidRDefault="00C04198">
      <w:r>
        <w:t>Seller agrees to facilitate reasonable access to Company</w:t>
      </w:r>
      <w:r>
        <w:t xml:space="preserve"> leadership, staff (as appropriate), facilities, documents, payor contracts, and systems during diligence. Buyer may conduct site visits, interviews, and full operational assessments.</w:t>
      </w:r>
    </w:p>
    <w:p w:rsidR="00FD5909" w:rsidRDefault="00C04198">
      <w:pPr>
        <w:pStyle w:val="Heading2"/>
      </w:pPr>
      <w:r>
        <w:t>7. Regulatory Approvals</w:t>
      </w:r>
    </w:p>
    <w:p w:rsidR="00FD5909" w:rsidRDefault="00C04198">
      <w:r>
        <w:t>Both parties agree to cooperate in obtaining all</w:t>
      </w:r>
      <w:r>
        <w:t xml:space="preserve"> required approvals, including payor notifications, change‑of‑ownership filings, licensure transfers, and credentialing steps.</w:t>
      </w:r>
    </w:p>
    <w:p w:rsidR="00FD5909" w:rsidRDefault="00C04198">
      <w:pPr>
        <w:pStyle w:val="Heading2"/>
      </w:pPr>
      <w:r>
        <w:lastRenderedPageBreak/>
        <w:t>8. Timeline and Exclusivity (Binding)</w:t>
      </w:r>
    </w:p>
    <w:p w:rsidR="00FD5909" w:rsidRDefault="00C04198">
      <w:r>
        <w:t>Buyer anticipates executing Definitive Agreements within approximately 60 days. Seller agre</w:t>
      </w:r>
      <w:r>
        <w:t>es to a binding Exclusivity Period of ___ days during which Seller shall:</w:t>
      </w:r>
    </w:p>
    <w:p w:rsidR="00FD5909" w:rsidRDefault="00C04198">
      <w:r>
        <w:t>• Not solicit, initiate, or entertain offers from any third party;</w:t>
      </w:r>
    </w:p>
    <w:p w:rsidR="00FD5909" w:rsidRDefault="00C04198">
      <w:r>
        <w:t>• Notify Buyer of any unsolicited inquiries and provide details;</w:t>
      </w:r>
    </w:p>
    <w:p w:rsidR="00FD5909" w:rsidRDefault="00C04198">
      <w:r>
        <w:t>• Work in good faith exclusively with Buyer toward</w:t>
      </w:r>
      <w:r>
        <w:t xml:space="preserve"> closing.</w:t>
      </w:r>
    </w:p>
    <w:p w:rsidR="00FD5909" w:rsidRDefault="00C04198">
      <w:r>
        <w:t>Seller acknowledges Buyer may seek equitable relief for breach of exclusivity.</w:t>
      </w:r>
    </w:p>
    <w:p w:rsidR="00FD5909" w:rsidRDefault="00C04198">
      <w:pPr>
        <w:pStyle w:val="Heading2"/>
      </w:pPr>
      <w:r>
        <w:t>9. Confidentiality (Binding)</w:t>
      </w:r>
    </w:p>
    <w:p w:rsidR="00FD5909" w:rsidRDefault="00C04198">
      <w:r>
        <w:t>Seller shall keep this LOI and all discussions confidential except as required by law. Buyer shall maintain confidentiality of all materia</w:t>
      </w:r>
      <w:r>
        <w:t>ls provided, subject to customary exceptions.</w:t>
      </w:r>
    </w:p>
    <w:p w:rsidR="00FD5909" w:rsidRDefault="00C04198">
      <w:pPr>
        <w:pStyle w:val="Heading2"/>
      </w:pPr>
      <w:r>
        <w:t>10. Standstill (Binding)</w:t>
      </w:r>
    </w:p>
    <w:p w:rsidR="00FD5909" w:rsidRDefault="00C04198">
      <w:r>
        <w:t>Seller shall not disclose deal terms, solicit competing offers, or provide information to third parties during the Exclusivity Period.</w:t>
      </w:r>
    </w:p>
    <w:p w:rsidR="00FD5909" w:rsidRDefault="00C04198">
      <w:pPr>
        <w:pStyle w:val="Heading2"/>
      </w:pPr>
      <w:r>
        <w:t>11. Conditions to Closing</w:t>
      </w:r>
    </w:p>
    <w:p w:rsidR="00FD5909" w:rsidRDefault="00C04198">
      <w:r>
        <w:t xml:space="preserve">The Transaction is </w:t>
      </w:r>
      <w:r>
        <w:t>subject to satisfactory due diligence, final agreement on terms, financing (if applicable), and execution of all required consents and approvals.</w:t>
      </w:r>
    </w:p>
    <w:p w:rsidR="00FD5909" w:rsidRDefault="00C04198">
      <w:pPr>
        <w:pStyle w:val="Heading2"/>
      </w:pPr>
      <w:r>
        <w:t>12. Expenses</w:t>
      </w:r>
    </w:p>
    <w:p w:rsidR="00FD5909" w:rsidRDefault="00C04198">
      <w:r>
        <w:t>Each party shall bear its own expenses related to this LOI and the Transaction.</w:t>
      </w:r>
    </w:p>
    <w:p w:rsidR="00FD5909" w:rsidRDefault="00C04198">
      <w:pPr>
        <w:pStyle w:val="Heading2"/>
      </w:pPr>
      <w:r>
        <w:t>13. Miscellaneous</w:t>
      </w:r>
      <w:r>
        <w:t xml:space="preserve"> (Binding)</w:t>
      </w:r>
    </w:p>
    <w:p w:rsidR="00FD5909" w:rsidRDefault="00C04198">
      <w:r>
        <w:t>• This LOI may be executed electronically.</w:t>
      </w:r>
    </w:p>
    <w:p w:rsidR="00FD5909" w:rsidRDefault="00C04198">
      <w:r>
        <w:t>• Notices shall be delivered via email or overnight courier.</w:t>
      </w:r>
    </w:p>
    <w:p w:rsidR="00FD5909" w:rsidRDefault="00C04198">
      <w:r>
        <w:t>• Amendments require written agreement by both parties.</w:t>
      </w:r>
    </w:p>
    <w:p w:rsidR="00FD5909" w:rsidRDefault="00C04198">
      <w:pPr>
        <w:pStyle w:val="Heading2"/>
      </w:pPr>
      <w:r>
        <w:t>14. Non‑Binding Effect</w:t>
      </w:r>
    </w:p>
    <w:p w:rsidR="00FD5909" w:rsidRDefault="00C04198">
      <w:r>
        <w:t xml:space="preserve">Except for Sections 8, 9, 10, and 13, this LOI is non‑binding </w:t>
      </w:r>
      <w:r>
        <w:t>and does not obligate either party to consummate the Transaction.</w:t>
      </w:r>
    </w:p>
    <w:p w:rsidR="00FD5909" w:rsidRDefault="00C04198">
      <w:pPr>
        <w:pStyle w:val="Heading2"/>
      </w:pPr>
      <w:r>
        <w:t>15. Signatures</w:t>
      </w:r>
    </w:p>
    <w:p w:rsidR="00FD5909" w:rsidRDefault="00C04198">
      <w:r>
        <w:t>IN WITNESS WHEREOF, t</w:t>
      </w:r>
      <w:bookmarkStart w:id="0" w:name="_GoBack"/>
      <w:bookmarkEnd w:id="0"/>
      <w:r>
        <w:t>he parties have executed this LOI as of the date below.</w:t>
      </w:r>
    </w:p>
    <w:tbl>
      <w:tblPr>
        <w:tblW w:w="10452" w:type="dxa"/>
        <w:tblInd w:w="108" w:type="dxa"/>
        <w:tblLook w:val="04A0" w:firstRow="1" w:lastRow="0" w:firstColumn="1" w:lastColumn="0" w:noHBand="0" w:noVBand="1"/>
      </w:tblPr>
      <w:tblGrid>
        <w:gridCol w:w="3666"/>
        <w:gridCol w:w="6786"/>
      </w:tblGrid>
      <w:tr w:rsidR="00C04198" w:rsidRPr="00C04198" w:rsidTr="00C04198">
        <w:trPr>
          <w:trHeight w:val="516"/>
        </w:trPr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98" w:rsidRPr="00C04198" w:rsidRDefault="00C04198" w:rsidP="00C0419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C04198">
              <w:rPr>
                <w:rFonts w:ascii="Cambria" w:eastAsia="Times New Roman" w:hAnsi="Cambria" w:cs="Calibri"/>
                <w:color w:val="000000"/>
              </w:rPr>
              <w:t>Buyer:</w:t>
            </w:r>
          </w:p>
        </w:tc>
        <w:tc>
          <w:tcPr>
            <w:tcW w:w="6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98" w:rsidRPr="00C04198" w:rsidRDefault="00C04198" w:rsidP="00C0419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C04198">
              <w:rPr>
                <w:rFonts w:ascii="Cambria" w:eastAsia="Times New Roman" w:hAnsi="Cambria" w:cs="Calibri"/>
                <w:color w:val="000000"/>
              </w:rPr>
              <w:t>Seller:</w:t>
            </w:r>
          </w:p>
        </w:tc>
      </w:tr>
      <w:tr w:rsidR="00C04198" w:rsidRPr="00C04198" w:rsidTr="00C04198">
        <w:trPr>
          <w:trHeight w:val="516"/>
        </w:trPr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98" w:rsidRPr="00C04198" w:rsidRDefault="00C04198" w:rsidP="00C0419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C04198">
              <w:rPr>
                <w:rFonts w:ascii="Cambria" w:eastAsia="Times New Roman" w:hAnsi="Cambria" w:cs="Calibri"/>
                <w:color w:val="000000"/>
              </w:rPr>
              <w:t>Name: _______________________</w:t>
            </w:r>
          </w:p>
        </w:tc>
        <w:tc>
          <w:tcPr>
            <w:tcW w:w="6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98" w:rsidRPr="00C04198" w:rsidRDefault="00C04198" w:rsidP="00C0419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C04198">
              <w:rPr>
                <w:rFonts w:ascii="Cambria" w:eastAsia="Times New Roman" w:hAnsi="Cambria" w:cs="Calibri"/>
                <w:color w:val="000000"/>
              </w:rPr>
              <w:t>Name: _______________________</w:t>
            </w:r>
          </w:p>
        </w:tc>
      </w:tr>
      <w:tr w:rsidR="00C04198" w:rsidRPr="00C04198" w:rsidTr="00C04198">
        <w:trPr>
          <w:trHeight w:val="516"/>
        </w:trPr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98" w:rsidRPr="00C04198" w:rsidRDefault="00C04198" w:rsidP="00C0419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C04198">
              <w:rPr>
                <w:rFonts w:ascii="Cambria" w:eastAsia="Times New Roman" w:hAnsi="Cambria" w:cs="Calibri"/>
                <w:color w:val="000000"/>
              </w:rPr>
              <w:t>Title: ________________________</w:t>
            </w:r>
          </w:p>
        </w:tc>
        <w:tc>
          <w:tcPr>
            <w:tcW w:w="6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98" w:rsidRPr="00C04198" w:rsidRDefault="00C04198" w:rsidP="00C0419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C04198">
              <w:rPr>
                <w:rFonts w:ascii="Cambria" w:eastAsia="Times New Roman" w:hAnsi="Cambria" w:cs="Calibri"/>
                <w:color w:val="000000"/>
              </w:rPr>
              <w:t>Title: ________________________</w:t>
            </w:r>
          </w:p>
        </w:tc>
      </w:tr>
      <w:tr w:rsidR="00C04198" w:rsidRPr="00C04198" w:rsidTr="00C04198">
        <w:trPr>
          <w:trHeight w:val="516"/>
        </w:trPr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98" w:rsidRPr="00C04198" w:rsidRDefault="00C04198" w:rsidP="00C0419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C04198">
              <w:rPr>
                <w:rFonts w:ascii="Cambria" w:eastAsia="Times New Roman" w:hAnsi="Cambria" w:cs="Calibri"/>
                <w:color w:val="000000"/>
              </w:rPr>
              <w:lastRenderedPageBreak/>
              <w:t>Date: ________________________</w:t>
            </w:r>
          </w:p>
        </w:tc>
        <w:tc>
          <w:tcPr>
            <w:tcW w:w="6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198" w:rsidRPr="00C04198" w:rsidRDefault="00C04198" w:rsidP="00C0419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C04198">
              <w:rPr>
                <w:rFonts w:ascii="Cambria" w:eastAsia="Times New Roman" w:hAnsi="Cambria" w:cs="Calibri"/>
                <w:color w:val="000000"/>
              </w:rPr>
              <w:t>Date: ________________________</w:t>
            </w:r>
          </w:p>
        </w:tc>
      </w:tr>
    </w:tbl>
    <w:p w:rsidR="00FD5909" w:rsidRDefault="00FD5909"/>
    <w:sectPr w:rsidR="00FD590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04198"/>
    <w:rsid w:val="00CB0664"/>
    <w:rsid w:val="00FC693F"/>
    <w:rsid w:val="00FD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54923A"/>
  <w14:defaultImageDpi w14:val="300"/>
  <w15:docId w15:val="{B2635DC8-9ECC-43D0-9E66-DEAE8780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6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A61F7E-1EFB-47BD-96E5-8C327B835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PETER</cp:lastModifiedBy>
  <cp:revision>2</cp:revision>
  <dcterms:created xsi:type="dcterms:W3CDTF">2025-11-20T17:22:00Z</dcterms:created>
  <dcterms:modified xsi:type="dcterms:W3CDTF">2025-11-20T17:22:00Z</dcterms:modified>
  <cp:category/>
</cp:coreProperties>
</file>